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FC" w:rsidRDefault="009C38FC" w:rsidP="009C38FC">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9C38FC" w:rsidRDefault="009C38FC" w:rsidP="009C38FC">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142/2016-JN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y,. . . . . . . . . . . . . . . . . . . . . . . . . . . . . .</w:t>
      </w: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p>
    <w:p w:rsidR="009C38FC" w:rsidRDefault="009C38FC" w:rsidP="009C38FC">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9C38FC" w:rsidRDefault="009C38FC" w:rsidP="009C38FC">
      <w:pPr>
        <w:jc w:val="both"/>
        <w:rPr>
          <w:color w:val="767171" w:themeColor="background2" w:themeShade="80"/>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PRIMERO.- </w:t>
      </w:r>
      <w:r>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un acto atribuido al Gerente de Calidad del Agua del Sistema de Agua Potable y Alcantarillado de León (SAPAL), autoridad que forma parte de la administración pública paramunicipal de León, Guanajuato . . . . . . . . . . . . . . . . . . . . . . . . . . . . . . . . . . . . . . . . . . . . . . . . . . . . . . . . . . . </w:t>
      </w:r>
    </w:p>
    <w:p w:rsidR="009C38FC" w:rsidRDefault="009C38FC" w:rsidP="009C38FC">
      <w:pPr>
        <w:pStyle w:val="Textoindependienteprimerasangra"/>
        <w:ind w:firstLine="0"/>
        <w:jc w:val="both"/>
        <w:rPr>
          <w:rFonts w:asciiTheme="minorHAnsi" w:hAnsiTheme="minorHAnsi" w:cstheme="minorHAnsi"/>
          <w:b/>
          <w:bCs/>
          <w:i/>
          <w:iCs/>
          <w:color w:val="767171" w:themeColor="background2" w:themeShade="80"/>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lang w:val="es-MX"/>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p>
    <w:p w:rsidR="009C38FC" w:rsidRDefault="009C38FC" w:rsidP="009C38FC">
      <w:pPr>
        <w:pStyle w:val="Textoindependienteprimerasangra"/>
        <w:jc w:val="both"/>
        <w:rPr>
          <w:rFonts w:asciiTheme="minorHAnsi" w:hAnsiTheme="minorHAnsi" w:cstheme="minorHAnsi"/>
          <w:b/>
          <w:i/>
          <w:iCs/>
          <w:color w:val="767171" w:themeColor="background2" w:themeShade="80"/>
          <w:sz w:val="26"/>
          <w:szCs w:val="26"/>
          <w:lang w:val="es-MX"/>
        </w:rPr>
      </w:pPr>
    </w:p>
    <w:p w:rsidR="009C38FC" w:rsidRDefault="009C38FC" w:rsidP="009C38FC">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142/2016-JN</w:t>
      </w:r>
    </w:p>
    <w:p w:rsidR="009C38FC" w:rsidRDefault="009C38FC" w:rsidP="009C38FC">
      <w:pPr>
        <w:pStyle w:val="Textoindependienteprimerasangra"/>
        <w:ind w:firstLine="708"/>
        <w:jc w:val="both"/>
        <w:rPr>
          <w:rFonts w:asciiTheme="minorHAnsi" w:hAnsiTheme="minorHAnsi" w:cstheme="minorHAnsi"/>
          <w:b/>
          <w:i/>
          <w:iCs/>
          <w:color w:val="767171" w:themeColor="background2" w:themeShade="80"/>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GCA/1956/15</w:t>
      </w:r>
      <w:r>
        <w:rPr>
          <w:rFonts w:asciiTheme="minorHAnsi" w:hAnsiTheme="minorHAnsi" w:cstheme="minorHAnsi"/>
          <w:color w:val="767171" w:themeColor="background2" w:themeShade="80"/>
          <w:sz w:val="26"/>
          <w:szCs w:val="26"/>
        </w:rPr>
        <w:t xml:space="preserve"> de fecha 17 diecisiete de diciembre del año 2015 dos mil quince, mismo que aportado por el actor, obra en el secreto de este juzgado (visible, en copia certificada, a foja 6 seis).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xml:space="preserve">, conforme al contenido del artículo 57 del Código antes citado. . . . . . . . . . . . . . . . . </w:t>
      </w:r>
    </w:p>
    <w:p w:rsidR="009C38FC" w:rsidRDefault="009C38FC" w:rsidP="009C38FC">
      <w:pPr>
        <w:pStyle w:val="Textoindependienteprimerasangra"/>
        <w:jc w:val="both"/>
        <w:rPr>
          <w:rFonts w:asciiTheme="minorHAnsi" w:hAnsiTheme="minorHAnsi" w:cstheme="minorHAnsi"/>
          <w:b/>
          <w:i/>
          <w:color w:val="767171" w:themeColor="background2" w:themeShade="80"/>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Pr>
          <w:rFonts w:asciiTheme="minorHAnsi" w:hAnsiTheme="minorHAnsi" w:cstheme="minorHAnsi"/>
          <w:color w:val="767171" w:themeColor="background2" w:themeShade="80"/>
          <w:sz w:val="26"/>
          <w:szCs w:val="26"/>
        </w:rPr>
        <w:lastRenderedPageBreak/>
        <w:t xml:space="preserve">Justicia Administrativa  para el Estado y los Municipios de  Guanajuato, ya que de actualizarse alguna, podría imposibilitar el pronunciamiento por parte de este órgano jurisdiccional sobre el fondo de la controversia planteada. . . . . . . . . . . . . . </w:t>
      </w:r>
    </w:p>
    <w:p w:rsidR="009C38FC" w:rsidRDefault="009C38FC" w:rsidP="009C38FC">
      <w:pPr>
        <w:pStyle w:val="Textoindependienteprimerasangra"/>
        <w:ind w:firstLine="0"/>
        <w:jc w:val="both"/>
        <w:rPr>
          <w:rFonts w:asciiTheme="minorHAnsi" w:hAnsiTheme="minorHAnsi" w:cstheme="minorHAnsi"/>
          <w:color w:val="767171" w:themeColor="background2" w:themeShade="80"/>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que el acto impugnado no afecta el interés jurídico del actor y, que dicho acto, no constituye un acto administrativo. . . . . . . . . . . . . . . . . . . . . . . . . . . . . . . . . </w:t>
      </w: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9C38FC" w:rsidRDefault="009C38FC" w:rsidP="009C38FC">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9C38FC" w:rsidRDefault="009C38FC" w:rsidP="009C38FC">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proofErr w:type="gramStart"/>
      <w:r>
        <w:rPr>
          <w:rStyle w:val="nfasis"/>
          <w:b/>
          <w:color w:val="767171" w:themeColor="background2" w:themeShade="80"/>
          <w:sz w:val="20"/>
          <w:szCs w:val="20"/>
        </w:rPr>
        <w:t>” .</w:t>
      </w:r>
      <w:proofErr w:type="gramEnd"/>
      <w:r>
        <w:rPr>
          <w:rStyle w:val="nfasis"/>
          <w:b/>
          <w:color w:val="767171" w:themeColor="background2" w:themeShade="80"/>
          <w:sz w:val="20"/>
          <w:szCs w:val="20"/>
        </w:rPr>
        <w:t xml:space="preserve"> . . . . . . . . . . . </w:t>
      </w:r>
    </w:p>
    <w:p w:rsidR="009C38FC" w:rsidRDefault="009C38FC" w:rsidP="009C38FC">
      <w:pPr>
        <w:pStyle w:val="Textoindependienteprimerasangra"/>
        <w:ind w:firstLine="0"/>
        <w:jc w:val="both"/>
        <w:rPr>
          <w:rFonts w:asciiTheme="minorHAnsi" w:hAnsiTheme="minorHAnsi" w:cstheme="minorHAnsi"/>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w:t>
      </w: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w:t>
      </w:r>
      <w:r>
        <w:rPr>
          <w:rFonts w:asciiTheme="minorHAnsi" w:hAnsiTheme="minorHAnsi" w:cstheme="minorHAnsi"/>
          <w:color w:val="767171" w:themeColor="background2" w:themeShade="80"/>
          <w:sz w:val="26"/>
          <w:szCs w:val="26"/>
        </w:rPr>
        <w:lastRenderedPageBreak/>
        <w:t xml:space="preserve">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w:t>
      </w: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w:t>
      </w:r>
    </w:p>
    <w:p w:rsidR="009C38FC" w:rsidRDefault="009C38FC" w:rsidP="009C38FC">
      <w:pPr>
        <w:pStyle w:val="Sangra3detindependiente"/>
        <w:rPr>
          <w:rFonts w:asciiTheme="minorHAnsi" w:hAnsiTheme="minorHAnsi" w:cstheme="minorHAnsi"/>
          <w:b/>
          <w:bCs/>
          <w:i/>
          <w:iCs/>
          <w:color w:val="767171" w:themeColor="background2" w:themeShade="80"/>
          <w:sz w:val="20"/>
          <w:szCs w:val="20"/>
        </w:rPr>
      </w:pPr>
    </w:p>
    <w:p w:rsidR="009C38FC" w:rsidRDefault="009C38FC" w:rsidP="009C38FC">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9C38FC" w:rsidRDefault="009C38FC" w:rsidP="009C38FC">
      <w:pPr>
        <w:jc w:val="both"/>
        <w:rPr>
          <w:rFonts w:ascii="Calibri" w:hAnsi="Calibri"/>
          <w:color w:val="767171" w:themeColor="background2" w:themeShade="80"/>
          <w:sz w:val="26"/>
        </w:rPr>
      </w:pPr>
    </w:p>
    <w:p w:rsidR="009C38FC" w:rsidRDefault="009C38FC" w:rsidP="009C38FC">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p>
    <w:p w:rsidR="009C38FC" w:rsidRDefault="009C38FC" w:rsidP="009C38FC">
      <w:pPr>
        <w:jc w:val="both"/>
        <w:rPr>
          <w:rFonts w:ascii="Calibri" w:hAnsi="Calibri"/>
          <w:color w:val="767171" w:themeColor="background2" w:themeShade="80"/>
          <w:sz w:val="26"/>
        </w:rPr>
      </w:pPr>
    </w:p>
    <w:p w:rsidR="009C38FC" w:rsidRDefault="009C38FC" w:rsidP="009C38FC">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A lo peticionado por el actor, el Gerente de Calidad del Agua del Sistema de Agua Potable y Alcantarillado de León, Guanajuato, emitió el oficio GCA/1956/15, 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p>
    <w:p w:rsidR="009C38FC" w:rsidRDefault="009C38FC" w:rsidP="009C38FC">
      <w:pPr>
        <w:jc w:val="both"/>
        <w:rPr>
          <w:rFonts w:ascii="Calibri" w:hAnsi="Calibri"/>
          <w:color w:val="767171" w:themeColor="background2" w:themeShade="80"/>
          <w:sz w:val="26"/>
        </w:rPr>
      </w:pPr>
    </w:p>
    <w:p w:rsidR="009C38FC" w:rsidRDefault="009C38FC" w:rsidP="009C38FC">
      <w:pPr>
        <w:ind w:firstLine="708"/>
        <w:jc w:val="both"/>
        <w:rPr>
          <w:rFonts w:ascii="Calibri" w:hAnsi="Calibri"/>
          <w:color w:val="767171" w:themeColor="background2" w:themeShade="80"/>
          <w:sz w:val="26"/>
        </w:rPr>
      </w:pPr>
    </w:p>
    <w:p w:rsidR="009C38FC" w:rsidRDefault="009C38FC" w:rsidP="009C38FC">
      <w:pPr>
        <w:ind w:firstLine="708"/>
        <w:jc w:val="both"/>
        <w:rPr>
          <w:rFonts w:ascii="Calibri" w:hAnsi="Calibri"/>
          <w:color w:val="767171" w:themeColor="background2" w:themeShade="80"/>
          <w:sz w:val="26"/>
        </w:rPr>
      </w:pPr>
    </w:p>
    <w:p w:rsidR="009C38FC" w:rsidRDefault="009C38FC" w:rsidP="009C38FC">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142/2016-JN</w:t>
      </w:r>
    </w:p>
    <w:p w:rsidR="009C38FC" w:rsidRDefault="009C38FC" w:rsidP="009C38FC">
      <w:pPr>
        <w:ind w:firstLine="708"/>
        <w:jc w:val="both"/>
        <w:rPr>
          <w:rFonts w:ascii="Calibri" w:hAnsi="Calibri"/>
          <w:color w:val="767171" w:themeColor="background2" w:themeShade="80"/>
          <w:sz w:val="26"/>
        </w:rPr>
      </w:pPr>
    </w:p>
    <w:p w:rsidR="009C38FC" w:rsidRDefault="009C38FC" w:rsidP="009C38FC">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9C38FC" w:rsidRDefault="009C38FC" w:rsidP="009C38FC">
      <w:pPr>
        <w:jc w:val="both"/>
        <w:rPr>
          <w:rFonts w:ascii="Calibri" w:hAnsi="Calibri"/>
          <w:color w:val="767171" w:themeColor="background2" w:themeShade="80"/>
          <w:sz w:val="26"/>
        </w:rPr>
      </w:pPr>
    </w:p>
    <w:p w:rsidR="009C38FC" w:rsidRDefault="009C38FC" w:rsidP="009C38FC">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w:t>
      </w:r>
      <w:r>
        <w:rPr>
          <w:rFonts w:ascii="Calibri" w:hAnsi="Calibri"/>
          <w:color w:val="767171" w:themeColor="background2" w:themeShade="80"/>
          <w:sz w:val="26"/>
          <w:lang w:val="es-MX"/>
        </w:rPr>
        <w:lastRenderedPageBreak/>
        <w:t xml:space="preserve">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9C38FC" w:rsidRDefault="009C38FC" w:rsidP="009C38FC">
      <w:pPr>
        <w:ind w:firstLine="708"/>
        <w:jc w:val="both"/>
        <w:rPr>
          <w:rFonts w:ascii="Calibri" w:hAnsi="Calibri"/>
          <w:color w:val="767171" w:themeColor="background2" w:themeShade="80"/>
          <w:sz w:val="26"/>
          <w:lang w:val="es-MX"/>
        </w:rPr>
      </w:pPr>
    </w:p>
    <w:p w:rsidR="009C38FC" w:rsidRDefault="009C38FC" w:rsidP="009C38FC">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GCA/1956/15, de fecha 17 diecisiete de diciembre del año 2015 dos mil quince. . . . . . . . . . . . . . . . . . . . . . . . . . . . . . . . . . . </w:t>
      </w:r>
      <w:r>
        <w:rPr>
          <w:rFonts w:asciiTheme="minorHAnsi" w:hAnsiTheme="minorHAnsi" w:cstheme="minorHAnsi"/>
          <w:color w:val="767171" w:themeColor="background2" w:themeShade="80"/>
          <w:sz w:val="26"/>
          <w:szCs w:val="26"/>
        </w:rPr>
        <w:t xml:space="preserve">. . . . . . . . . . </w:t>
      </w:r>
    </w:p>
    <w:p w:rsidR="009C38FC" w:rsidRDefault="009C38FC" w:rsidP="009C38FC">
      <w:pPr>
        <w:ind w:firstLine="708"/>
        <w:jc w:val="both"/>
        <w:rPr>
          <w:rFonts w:ascii="Calibri" w:hAnsi="Calibri"/>
          <w:color w:val="767171" w:themeColor="background2" w:themeShade="80"/>
          <w:sz w:val="26"/>
        </w:rPr>
      </w:pPr>
    </w:p>
    <w:p w:rsidR="009C38FC" w:rsidRDefault="009C38FC" w:rsidP="009C38FC">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ello el criterio sostenido por el Tribunal Colegiado de Circuito del Poder Judicial de la Federación, en la siguiente Jurisprudencia: . . . . . . . . . . . . . . . . . . . . .. </w:t>
      </w:r>
    </w:p>
    <w:p w:rsidR="009C38FC" w:rsidRDefault="009C38FC" w:rsidP="009C38FC">
      <w:pPr>
        <w:pStyle w:val="NormalWeb"/>
        <w:spacing w:before="0" w:beforeAutospacing="0" w:after="0" w:afterAutospacing="0"/>
        <w:rPr>
          <w:color w:val="767171" w:themeColor="background2" w:themeShade="80"/>
          <w:lang w:val="es-ES"/>
        </w:rPr>
      </w:pPr>
    </w:p>
    <w:p w:rsidR="009C38FC" w:rsidRDefault="009C38FC" w:rsidP="009C38FC">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 . . . . . . . . . . . . . . . . . . . . . . . . . . . . . . . . . . . . . . . . . . . . . . . . . . . . . </w:t>
      </w:r>
    </w:p>
    <w:p w:rsidR="009C38FC" w:rsidRDefault="009C38FC" w:rsidP="009C38FC"/>
    <w:p w:rsidR="009C38FC" w:rsidRDefault="009C38FC" w:rsidP="009C38FC">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9C38FC" w:rsidRDefault="009C38FC" w:rsidP="009C38FC">
      <w:pPr>
        <w:jc w:val="both"/>
        <w:rPr>
          <w:rFonts w:asciiTheme="minorHAnsi" w:hAnsiTheme="minorHAnsi" w:cstheme="minorHAnsi"/>
          <w:color w:val="767171" w:themeColor="background2" w:themeShade="80"/>
          <w:sz w:val="26"/>
          <w:szCs w:val="26"/>
        </w:rPr>
      </w:pPr>
    </w:p>
    <w:p w:rsidR="009C38FC" w:rsidRDefault="009C38FC" w:rsidP="009C38FC">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9C38FC" w:rsidRDefault="009C38FC" w:rsidP="009C38FC">
      <w:pPr>
        <w:pStyle w:val="Sangra3detindependiente"/>
        <w:rPr>
          <w:rFonts w:asciiTheme="minorHAnsi" w:hAnsiTheme="minorHAnsi" w:cstheme="minorHAnsi"/>
          <w:color w:val="767171" w:themeColor="background2" w:themeShade="80"/>
        </w:rPr>
      </w:pPr>
    </w:p>
    <w:p w:rsidR="009C38FC" w:rsidRDefault="009C38FC" w:rsidP="009C38FC">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GCA/1956/15,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9C38FC" w:rsidRDefault="009C38FC" w:rsidP="009C38FC">
      <w:pPr>
        <w:ind w:firstLine="708"/>
        <w:jc w:val="both"/>
        <w:rPr>
          <w:rFonts w:ascii="Calibri" w:hAnsi="Calibri"/>
          <w:bCs/>
          <w:color w:val="767171" w:themeColor="background2" w:themeShade="80"/>
          <w:sz w:val="26"/>
        </w:rPr>
      </w:pPr>
    </w:p>
    <w:p w:rsidR="009C38FC" w:rsidRDefault="009C38FC" w:rsidP="009C38FC">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lastRenderedPageBreak/>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9C38FC" w:rsidRDefault="009C38FC" w:rsidP="009C38FC">
      <w:pPr>
        <w:jc w:val="both"/>
        <w:rPr>
          <w:rFonts w:ascii="Calibri" w:hAnsi="Calibri"/>
          <w:bCs/>
          <w:color w:val="767171" w:themeColor="background2" w:themeShade="80"/>
          <w:sz w:val="26"/>
        </w:rPr>
      </w:pPr>
    </w:p>
    <w:p w:rsidR="009C38FC" w:rsidRDefault="009C38FC" w:rsidP="009C38FC">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9C38FC" w:rsidRDefault="009C38FC" w:rsidP="009C38FC">
      <w:pPr>
        <w:jc w:val="both"/>
        <w:rPr>
          <w:rFonts w:ascii="Calibri" w:hAnsi="Calibri"/>
          <w:bCs/>
          <w:color w:val="767171" w:themeColor="background2" w:themeShade="80"/>
          <w:sz w:val="26"/>
        </w:rPr>
      </w:pPr>
    </w:p>
    <w:p w:rsidR="009C38FC" w:rsidRDefault="009C38FC" w:rsidP="009C38FC">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oficio GCA/1956/15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 . . </w:t>
      </w:r>
    </w:p>
    <w:p w:rsidR="009C38FC" w:rsidRDefault="009C38FC" w:rsidP="009C38FC">
      <w:pPr>
        <w:ind w:firstLine="708"/>
        <w:jc w:val="both"/>
        <w:rPr>
          <w:rFonts w:ascii="Calibri" w:hAnsi="Calibri" w:cs="Calibri"/>
          <w:color w:val="767171" w:themeColor="background2" w:themeShade="80"/>
          <w:sz w:val="26"/>
          <w:szCs w:val="26"/>
        </w:rPr>
      </w:pPr>
    </w:p>
    <w:p w:rsidR="009C38FC" w:rsidRDefault="009C38FC" w:rsidP="009C38FC">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w:t>
      </w:r>
    </w:p>
    <w:p w:rsidR="009C38FC" w:rsidRDefault="009C38FC" w:rsidP="009C38FC">
      <w:pPr>
        <w:pStyle w:val="Textoindependiente"/>
        <w:rPr>
          <w:rFonts w:ascii="Calibri" w:hAnsi="Calibri"/>
          <w:color w:val="767171" w:themeColor="background2" w:themeShade="80"/>
        </w:rPr>
      </w:pPr>
    </w:p>
    <w:p w:rsidR="009C38FC" w:rsidRDefault="009C38FC" w:rsidP="009C38FC">
      <w:pPr>
        <w:pStyle w:val="Textoindependiente"/>
        <w:ind w:firstLine="708"/>
        <w:rPr>
          <w:rFonts w:ascii="Calibri" w:hAnsi="Calibri" w:cs="Goudy"/>
          <w:i/>
          <w:iCs/>
          <w:color w:val="767171" w:themeColor="background2" w:themeShade="80"/>
          <w:sz w:val="27"/>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w:t>
      </w:r>
      <w:r>
        <w:rPr>
          <w:rFonts w:ascii="Calibri" w:hAnsi="Calibri" w:cs="Goudy"/>
          <w:i/>
          <w:iCs/>
          <w:color w:val="767171" w:themeColor="background2" w:themeShade="80"/>
          <w:sz w:val="27"/>
          <w:szCs w:val="26"/>
        </w:rPr>
        <w:lastRenderedPageBreak/>
        <w:t xml:space="preserve">de inconformidad que decreta la nulidad por falta de fundamentación y motivación del acto reclamado son los de constreñir a la autoridad responsable a emitir uno nuevo, que subsane la irregularidad </w:t>
      </w:r>
    </w:p>
    <w:p w:rsidR="009C38FC" w:rsidRDefault="009C38FC" w:rsidP="009C38FC">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142/2016-JN</w:t>
      </w:r>
    </w:p>
    <w:p w:rsidR="009C38FC" w:rsidRDefault="009C38FC" w:rsidP="009C38FC">
      <w:pPr>
        <w:pStyle w:val="Textoindependiente"/>
        <w:rPr>
          <w:rFonts w:ascii="Calibri" w:hAnsi="Calibri" w:cs="Goudy"/>
          <w:i/>
          <w:iCs/>
          <w:color w:val="767171" w:themeColor="background2" w:themeShade="80"/>
          <w:sz w:val="27"/>
          <w:szCs w:val="26"/>
        </w:rPr>
      </w:pPr>
    </w:p>
    <w:p w:rsidR="009C38FC" w:rsidRDefault="009C38FC" w:rsidP="009C38FC">
      <w:pPr>
        <w:pStyle w:val="Textoindependiente"/>
        <w:rPr>
          <w:rFonts w:ascii="Calibri" w:hAnsi="Calibri"/>
          <w:color w:val="767171" w:themeColor="background2" w:themeShade="80"/>
          <w:sz w:val="26"/>
          <w:szCs w:val="26"/>
        </w:rPr>
      </w:pPr>
      <w:proofErr w:type="gramStart"/>
      <w:r>
        <w:rPr>
          <w:rFonts w:ascii="Calibri" w:hAnsi="Calibri" w:cs="Goudy"/>
          <w:i/>
          <w:iCs/>
          <w:color w:val="767171" w:themeColor="background2" w:themeShade="80"/>
          <w:sz w:val="27"/>
          <w:szCs w:val="26"/>
        </w:rPr>
        <w:t>cometida</w:t>
      </w:r>
      <w:proofErr w:type="gramEnd"/>
      <w:r>
        <w:rPr>
          <w:rFonts w:ascii="Calibri" w:hAnsi="Calibri" w:cs="Goudy"/>
          <w:i/>
          <w:iCs/>
          <w:color w:val="767171" w:themeColor="background2" w:themeShade="80"/>
          <w:sz w:val="27"/>
          <w:szCs w:val="26"/>
        </w:rPr>
        <w:t xml:space="preserve">,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9C38FC" w:rsidRDefault="009C38FC" w:rsidP="009C38FC">
      <w:pPr>
        <w:jc w:val="both"/>
        <w:rPr>
          <w:rFonts w:asciiTheme="minorHAnsi" w:hAnsiTheme="minorHAnsi" w:cstheme="minorHAnsi"/>
          <w:color w:val="767171" w:themeColor="background2" w:themeShade="80"/>
          <w:sz w:val="26"/>
          <w:szCs w:val="26"/>
        </w:rPr>
      </w:pPr>
    </w:p>
    <w:p w:rsidR="009C38FC" w:rsidRDefault="009C38FC" w:rsidP="009C38FC">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9C38FC" w:rsidRDefault="009C38FC" w:rsidP="009C38FC">
      <w:pPr>
        <w:pStyle w:val="Normal0"/>
        <w:jc w:val="both"/>
        <w:rPr>
          <w:rFonts w:asciiTheme="minorHAnsi" w:hAnsiTheme="minorHAnsi" w:cstheme="minorHAnsi"/>
          <w:color w:val="767171" w:themeColor="background2" w:themeShade="80"/>
          <w:sz w:val="26"/>
          <w:szCs w:val="26"/>
        </w:rPr>
      </w:pPr>
    </w:p>
    <w:p w:rsidR="009C38FC" w:rsidRDefault="009C38FC" w:rsidP="009C38FC">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p>
    <w:p w:rsidR="009C38FC" w:rsidRDefault="009C38FC" w:rsidP="009C38FC">
      <w:pPr>
        <w:pStyle w:val="Textoindependienteprimerasangra"/>
        <w:ind w:firstLine="0"/>
        <w:jc w:val="both"/>
        <w:rPr>
          <w:rFonts w:asciiTheme="minorHAnsi" w:hAnsiTheme="minorHAnsi" w:cstheme="minorHAnsi"/>
          <w:i/>
          <w:color w:val="767171" w:themeColor="background2" w:themeShade="80"/>
          <w:sz w:val="26"/>
          <w:szCs w:val="26"/>
        </w:rPr>
      </w:pP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fracción III, y 302, fracción II, del Código de Procedimiento </w:t>
      </w:r>
      <w:r>
        <w:rPr>
          <w:rFonts w:ascii="Calibri" w:hAnsi="Calibri" w:cs="Calibri"/>
          <w:color w:val="767171" w:themeColor="background2" w:themeShade="80"/>
          <w:sz w:val="26"/>
          <w:szCs w:val="26"/>
        </w:rPr>
        <w:lastRenderedPageBreak/>
        <w:t>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w:t>
      </w:r>
    </w:p>
    <w:p w:rsidR="009C38FC" w:rsidRDefault="009C38FC" w:rsidP="009C38FC">
      <w:pPr>
        <w:pStyle w:val="Textoindependienteprimerasangra"/>
        <w:ind w:firstLine="708"/>
        <w:jc w:val="both"/>
        <w:rPr>
          <w:rFonts w:asciiTheme="minorHAnsi" w:hAnsiTheme="minorHAnsi" w:cstheme="minorHAnsi"/>
          <w:color w:val="767171" w:themeColor="background2" w:themeShade="80"/>
          <w:sz w:val="20"/>
          <w:szCs w:val="20"/>
        </w:rPr>
      </w:pPr>
    </w:p>
    <w:p w:rsidR="009C38FC" w:rsidRDefault="009C38FC" w:rsidP="009C38FC">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9C38FC" w:rsidRDefault="009C38FC" w:rsidP="009C38FC">
      <w:pPr>
        <w:jc w:val="both"/>
        <w:rPr>
          <w:color w:val="767171" w:themeColor="background2" w:themeShade="80"/>
          <w:sz w:val="20"/>
          <w:szCs w:val="20"/>
        </w:rPr>
      </w:pPr>
    </w:p>
    <w:p w:rsidR="009C38FC" w:rsidRDefault="009C38FC" w:rsidP="009C38FC">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9C38FC" w:rsidRDefault="009C38FC" w:rsidP="009C38FC">
      <w:pPr>
        <w:pStyle w:val="Textoindependienteprimerasangra"/>
        <w:jc w:val="both"/>
        <w:rPr>
          <w:rFonts w:asciiTheme="minorHAnsi" w:hAnsiTheme="minorHAnsi" w:cstheme="minorHAnsi"/>
          <w:color w:val="767171" w:themeColor="background2" w:themeShade="80"/>
          <w:sz w:val="20"/>
          <w:szCs w:val="20"/>
        </w:rPr>
      </w:pPr>
    </w:p>
    <w:p w:rsidR="009C38FC" w:rsidRDefault="009C38FC" w:rsidP="009C38FC">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 . . . </w:t>
      </w:r>
    </w:p>
    <w:p w:rsidR="009C38FC" w:rsidRDefault="009C38FC" w:rsidP="009C38FC">
      <w:pPr>
        <w:pStyle w:val="Textoindependienteprimerasangra"/>
        <w:jc w:val="both"/>
        <w:rPr>
          <w:rFonts w:asciiTheme="minorHAnsi" w:hAnsiTheme="minorHAnsi" w:cstheme="minorHAnsi"/>
          <w:b/>
          <w:bCs/>
          <w:i/>
          <w:iCs/>
          <w:color w:val="767171" w:themeColor="background2" w:themeShade="80"/>
          <w:sz w:val="20"/>
          <w:szCs w:val="20"/>
        </w:rPr>
      </w:pPr>
    </w:p>
    <w:p w:rsidR="009C38FC" w:rsidRDefault="009C38FC" w:rsidP="009C38FC">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GCA/1956/15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 . . . </w:t>
      </w:r>
    </w:p>
    <w:p w:rsidR="009C38FC" w:rsidRDefault="009C38FC" w:rsidP="009C38FC">
      <w:pPr>
        <w:pStyle w:val="Textoindependienteprimerasangra"/>
        <w:ind w:firstLine="0"/>
        <w:jc w:val="both"/>
        <w:rPr>
          <w:rFonts w:asciiTheme="minorHAnsi" w:hAnsiTheme="minorHAnsi" w:cstheme="minorHAnsi"/>
          <w:b/>
          <w:bCs/>
          <w:i/>
          <w:iCs/>
          <w:color w:val="767171" w:themeColor="background2" w:themeShade="80"/>
          <w:sz w:val="20"/>
          <w:szCs w:val="20"/>
        </w:rPr>
      </w:pPr>
    </w:p>
    <w:p w:rsidR="009C38FC" w:rsidRDefault="009C38FC" w:rsidP="009C38FC">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9C38FC" w:rsidRDefault="009C38FC" w:rsidP="009C38FC">
      <w:pPr>
        <w:pStyle w:val="Textoindependienteprimerasangra"/>
        <w:jc w:val="both"/>
        <w:rPr>
          <w:rFonts w:asciiTheme="minorHAnsi" w:hAnsiTheme="minorHAnsi" w:cstheme="minorHAnsi"/>
          <w:color w:val="767171" w:themeColor="background2" w:themeShade="80"/>
          <w:sz w:val="20"/>
          <w:szCs w:val="20"/>
        </w:rPr>
      </w:pPr>
    </w:p>
    <w:p w:rsidR="009C38FC" w:rsidRDefault="009C38FC" w:rsidP="009C38FC">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9C38FC" w:rsidRDefault="009C38FC" w:rsidP="009C38FC">
      <w:pPr>
        <w:pStyle w:val="Textoindependienteprimerasangra"/>
        <w:jc w:val="both"/>
        <w:rPr>
          <w:rFonts w:asciiTheme="minorHAnsi" w:hAnsiTheme="minorHAnsi" w:cstheme="minorHAnsi"/>
          <w:color w:val="767171" w:themeColor="background2" w:themeShade="80"/>
          <w:sz w:val="20"/>
          <w:szCs w:val="20"/>
        </w:rPr>
      </w:pPr>
    </w:p>
    <w:p w:rsidR="009C38FC" w:rsidRDefault="009C38FC" w:rsidP="009C38FC">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xml:space="preserve">, quien da fe.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FC"/>
    <w:rsid w:val="009C38FC"/>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32C3C-1703-45B3-B0FF-F3ED5D73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8FC"/>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9C38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C38FC"/>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9C38FC"/>
    <w:pPr>
      <w:jc w:val="both"/>
    </w:pPr>
    <w:rPr>
      <w:lang w:val="es-MX"/>
    </w:rPr>
  </w:style>
  <w:style w:type="character" w:customStyle="1" w:styleId="TextoindependienteCar">
    <w:name w:val="Texto independiente Car"/>
    <w:basedOn w:val="Fuentedeprrafopredeter"/>
    <w:link w:val="Textoindependiente"/>
    <w:rsid w:val="009C38FC"/>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9C38F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C38FC"/>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9C38FC"/>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9C38FC"/>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C38FC"/>
    <w:rPr>
      <w:rFonts w:ascii="Times New Roman" w:eastAsia="Times New Roman" w:hAnsi="Times New Roman" w:cs="Times New Roman"/>
      <w:sz w:val="24"/>
      <w:szCs w:val="24"/>
      <w:lang w:val="es-ES" w:eastAsia="es-ES"/>
    </w:rPr>
  </w:style>
  <w:style w:type="paragraph" w:customStyle="1" w:styleId="Normal0">
    <w:name w:val="[Normal]"/>
    <w:semiHidden/>
    <w:rsid w:val="009C38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9C38FC"/>
    <w:rPr>
      <w:b/>
      <w:bCs/>
    </w:rPr>
  </w:style>
  <w:style w:type="character" w:styleId="nfasis">
    <w:name w:val="Emphasis"/>
    <w:basedOn w:val="Fuentedeprrafopredeter"/>
    <w:uiPriority w:val="20"/>
    <w:qFormat/>
    <w:rsid w:val="009C3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2978</Words>
  <Characters>16380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2017-09-01T16:18:00Z</dcterms:created>
  <dcterms:modified xsi:type="dcterms:W3CDTF">2017-09-01T16:19:00Z</dcterms:modified>
</cp:coreProperties>
</file>